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38AE2" w14:textId="060E4FE9" w:rsidR="001B43CC" w:rsidRDefault="001B43CC" w:rsidP="001B43CC">
      <w:pPr>
        <w:jc w:val="center"/>
        <w:rPr>
          <w:rFonts w:ascii="Arial" w:hAnsi="Arial" w:cs="Arial"/>
          <w:b/>
          <w:sz w:val="32"/>
          <w:szCs w:val="32"/>
        </w:rPr>
      </w:pPr>
      <w:r>
        <w:rPr>
          <w:rFonts w:ascii="Arial" w:hAnsi="Arial" w:cs="Arial"/>
          <w:b/>
          <w:noProof/>
          <w:sz w:val="32"/>
          <w:szCs w:val="32"/>
        </w:rPr>
        <w:drawing>
          <wp:inline distT="0" distB="0" distL="0" distR="0" wp14:anchorId="6E1C5517" wp14:editId="287F7D2A">
            <wp:extent cx="1063773" cy="1577340"/>
            <wp:effectExtent l="0" t="0" r="3175" b="381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101" cy="1605999"/>
                    </a:xfrm>
                    <a:prstGeom prst="rect">
                      <a:avLst/>
                    </a:prstGeom>
                  </pic:spPr>
                </pic:pic>
              </a:graphicData>
            </a:graphic>
          </wp:inline>
        </w:drawing>
      </w:r>
    </w:p>
    <w:p w14:paraId="62CB7ED8" w14:textId="77777777" w:rsidR="001B43CC" w:rsidRDefault="001B43CC" w:rsidP="009D749E">
      <w:pPr>
        <w:rPr>
          <w:rFonts w:ascii="Arial" w:hAnsi="Arial" w:cs="Arial"/>
          <w:b/>
          <w:sz w:val="32"/>
          <w:szCs w:val="32"/>
        </w:rPr>
      </w:pPr>
    </w:p>
    <w:p w14:paraId="0B419D4D" w14:textId="76BB89F1" w:rsidR="00A52363" w:rsidRPr="009D749E" w:rsidRDefault="00C462AB" w:rsidP="009D749E">
      <w:pPr>
        <w:rPr>
          <w:rFonts w:ascii="Arial" w:hAnsi="Arial" w:cs="Arial"/>
          <w:b/>
          <w:sz w:val="32"/>
          <w:szCs w:val="32"/>
        </w:rPr>
      </w:pPr>
      <w:bookmarkStart w:id="0" w:name="_GoBack"/>
      <w:proofErr w:type="gramStart"/>
      <w:r w:rsidRPr="009D749E">
        <w:rPr>
          <w:rFonts w:ascii="Arial" w:hAnsi="Arial" w:cs="Arial"/>
          <w:b/>
          <w:sz w:val="32"/>
          <w:szCs w:val="32"/>
        </w:rPr>
        <w:t>Outreach</w:t>
      </w:r>
      <w:r w:rsidR="003F7788" w:rsidRPr="009D749E">
        <w:rPr>
          <w:rFonts w:ascii="Arial" w:hAnsi="Arial" w:cs="Arial"/>
          <w:b/>
          <w:sz w:val="32"/>
          <w:szCs w:val="32"/>
        </w:rPr>
        <w:t xml:space="preserve"> </w:t>
      </w:r>
      <w:r w:rsidRPr="009D749E">
        <w:rPr>
          <w:rFonts w:ascii="Arial" w:hAnsi="Arial" w:cs="Arial"/>
          <w:b/>
          <w:sz w:val="32"/>
          <w:szCs w:val="32"/>
        </w:rPr>
        <w:t xml:space="preserve"> Manager</w:t>
      </w:r>
      <w:proofErr w:type="gramEnd"/>
      <w:r w:rsidRPr="009D749E">
        <w:rPr>
          <w:rFonts w:ascii="Arial" w:hAnsi="Arial" w:cs="Arial"/>
          <w:b/>
          <w:sz w:val="32"/>
          <w:szCs w:val="32"/>
        </w:rPr>
        <w:t xml:space="preserve"> </w:t>
      </w:r>
      <w:r w:rsidR="005F79AA">
        <w:rPr>
          <w:rFonts w:ascii="Arial" w:hAnsi="Arial" w:cs="Arial"/>
          <w:b/>
          <w:sz w:val="32"/>
          <w:szCs w:val="32"/>
        </w:rPr>
        <w:t xml:space="preserve"> </w:t>
      </w:r>
      <w:r w:rsidR="00832E05">
        <w:rPr>
          <w:rFonts w:ascii="Arial" w:hAnsi="Arial" w:cs="Arial"/>
          <w:b/>
          <w:sz w:val="32"/>
          <w:szCs w:val="32"/>
        </w:rPr>
        <w:t xml:space="preserve">(East Region and West Region) </w:t>
      </w:r>
    </w:p>
    <w:p w14:paraId="1E8525EE" w14:textId="33A1AACC" w:rsidR="00EE2962" w:rsidRPr="00913EE3" w:rsidRDefault="00EE2962" w:rsidP="00EE2962">
      <w:pPr>
        <w:rPr>
          <w:rFonts w:ascii="Arial" w:hAnsi="Arial" w:cs="Arial"/>
          <w:sz w:val="24"/>
          <w:szCs w:val="24"/>
        </w:rPr>
      </w:pPr>
      <w:r w:rsidRPr="00913EE3">
        <w:rPr>
          <w:rFonts w:ascii="Arial" w:hAnsi="Arial" w:cs="Arial"/>
          <w:sz w:val="24"/>
          <w:szCs w:val="24"/>
        </w:rPr>
        <w:t>The Gathering Place, a Cleveland based not for profit, is a caring community that supports, educates</w:t>
      </w:r>
      <w:r w:rsidR="00E2600E">
        <w:rPr>
          <w:rFonts w:ascii="Arial" w:hAnsi="Arial" w:cs="Arial"/>
          <w:sz w:val="24"/>
          <w:szCs w:val="24"/>
        </w:rPr>
        <w:t>,</w:t>
      </w:r>
      <w:r w:rsidRPr="00913EE3">
        <w:rPr>
          <w:rFonts w:ascii="Arial" w:hAnsi="Arial" w:cs="Arial"/>
          <w:sz w:val="24"/>
          <w:szCs w:val="24"/>
        </w:rPr>
        <w:t xml:space="preserve"> and empowers individuals and families touched by cancer.  All programs are delivered free of charge through the generosity of donors and supporters.</w:t>
      </w:r>
    </w:p>
    <w:p w14:paraId="20428980" w14:textId="77777777" w:rsidR="00E2600E" w:rsidRDefault="00E2600E" w:rsidP="00A52363">
      <w:pPr>
        <w:rPr>
          <w:rFonts w:ascii="Arial" w:hAnsi="Arial" w:cs="Arial"/>
          <w:b/>
          <w:sz w:val="24"/>
          <w:szCs w:val="24"/>
        </w:rPr>
      </w:pPr>
    </w:p>
    <w:p w14:paraId="6F311489" w14:textId="29E3B925" w:rsidR="00A52363" w:rsidRPr="00C624AF" w:rsidRDefault="00A52363" w:rsidP="00A52363">
      <w:pPr>
        <w:rPr>
          <w:rFonts w:ascii="Arial" w:hAnsi="Arial" w:cs="Arial"/>
          <w:b/>
          <w:sz w:val="24"/>
          <w:szCs w:val="24"/>
        </w:rPr>
      </w:pPr>
      <w:r w:rsidRPr="00C624AF">
        <w:rPr>
          <w:rFonts w:ascii="Arial" w:hAnsi="Arial" w:cs="Arial"/>
          <w:b/>
          <w:sz w:val="24"/>
          <w:szCs w:val="24"/>
        </w:rPr>
        <w:t>Job Summary</w:t>
      </w:r>
    </w:p>
    <w:p w14:paraId="48EDBF89" w14:textId="081AA641" w:rsidR="00A52363" w:rsidRPr="00C624AF" w:rsidRDefault="00A52363" w:rsidP="00A52363">
      <w:pPr>
        <w:rPr>
          <w:rFonts w:ascii="Arial" w:hAnsi="Arial" w:cs="Arial"/>
          <w:sz w:val="24"/>
          <w:szCs w:val="24"/>
        </w:rPr>
      </w:pPr>
      <w:r w:rsidRPr="00C624AF">
        <w:rPr>
          <w:rFonts w:ascii="Arial" w:hAnsi="Arial" w:cs="Arial"/>
          <w:sz w:val="24"/>
          <w:szCs w:val="24"/>
        </w:rPr>
        <w:t xml:space="preserve"> Responsible for strategically cultivating and sustaining relationships with </w:t>
      </w:r>
      <w:r w:rsidR="003A5866" w:rsidRPr="00C624AF">
        <w:rPr>
          <w:rFonts w:ascii="Arial" w:hAnsi="Arial" w:cs="Arial"/>
          <w:sz w:val="24"/>
          <w:szCs w:val="24"/>
        </w:rPr>
        <w:t xml:space="preserve">professional and </w:t>
      </w:r>
      <w:r w:rsidRPr="00C624AF">
        <w:rPr>
          <w:rFonts w:ascii="Arial" w:hAnsi="Arial" w:cs="Arial"/>
          <w:sz w:val="24"/>
          <w:szCs w:val="24"/>
        </w:rPr>
        <w:t xml:space="preserve">community stakeholders to increase awareness and utilization of programs and services in support of the mission and vision of The Gathering Place (TGP). </w:t>
      </w:r>
      <w:r w:rsidR="003A5866" w:rsidRPr="00C624AF">
        <w:rPr>
          <w:rFonts w:ascii="Arial" w:hAnsi="Arial" w:cs="Arial"/>
          <w:sz w:val="24"/>
          <w:szCs w:val="24"/>
        </w:rPr>
        <w:t xml:space="preserve">Assures that marketing programs and activities are appropriately integrated into the strategic marketing plan. </w:t>
      </w:r>
    </w:p>
    <w:bookmarkEnd w:id="0"/>
    <w:p w14:paraId="63D9B6AC" w14:textId="3E417E5E" w:rsidR="00A52363" w:rsidRPr="00C624AF" w:rsidRDefault="00A52363" w:rsidP="00A52363">
      <w:pPr>
        <w:rPr>
          <w:rFonts w:ascii="Arial" w:hAnsi="Arial" w:cs="Arial"/>
          <w:b/>
          <w:sz w:val="24"/>
          <w:szCs w:val="24"/>
        </w:rPr>
      </w:pPr>
      <w:r w:rsidRPr="00C624AF">
        <w:rPr>
          <w:rFonts w:ascii="Arial" w:hAnsi="Arial" w:cs="Arial"/>
          <w:b/>
          <w:sz w:val="24"/>
          <w:szCs w:val="24"/>
        </w:rPr>
        <w:t>Responsibilities</w:t>
      </w:r>
      <w:r w:rsidR="00303454">
        <w:rPr>
          <w:rFonts w:ascii="Arial" w:hAnsi="Arial" w:cs="Arial"/>
          <w:b/>
          <w:sz w:val="24"/>
          <w:szCs w:val="24"/>
        </w:rPr>
        <w:t>:</w:t>
      </w:r>
    </w:p>
    <w:p w14:paraId="2E0554AD" w14:textId="38ECEA0A" w:rsidR="00D333D8" w:rsidRPr="00FC5861" w:rsidRDefault="00683E61" w:rsidP="00FC5861">
      <w:pPr>
        <w:pStyle w:val="ListParagraph"/>
        <w:numPr>
          <w:ilvl w:val="0"/>
          <w:numId w:val="5"/>
        </w:numPr>
        <w:rPr>
          <w:rFonts w:ascii="Arial" w:hAnsi="Arial" w:cs="Arial"/>
          <w:sz w:val="24"/>
          <w:szCs w:val="24"/>
        </w:rPr>
      </w:pPr>
      <w:r w:rsidRPr="00FC5861">
        <w:rPr>
          <w:rFonts w:ascii="Arial" w:hAnsi="Arial" w:cs="Arial"/>
          <w:sz w:val="24"/>
          <w:szCs w:val="24"/>
        </w:rPr>
        <w:t>In concert with the CEO,</w:t>
      </w:r>
      <w:r w:rsidR="003A5866" w:rsidRPr="00FC5861">
        <w:rPr>
          <w:rFonts w:ascii="Arial" w:hAnsi="Arial" w:cs="Arial"/>
          <w:sz w:val="24"/>
          <w:szCs w:val="24"/>
        </w:rPr>
        <w:t xml:space="preserve"> and VP of Partner Engagement</w:t>
      </w:r>
      <w:r w:rsidRPr="00FC5861">
        <w:rPr>
          <w:rFonts w:ascii="Arial" w:hAnsi="Arial" w:cs="Arial"/>
          <w:sz w:val="24"/>
          <w:szCs w:val="24"/>
        </w:rPr>
        <w:t xml:space="preserve"> </w:t>
      </w:r>
      <w:r w:rsidR="003A5866" w:rsidRPr="00FC5861">
        <w:rPr>
          <w:rFonts w:ascii="Arial" w:hAnsi="Arial" w:cs="Arial"/>
          <w:sz w:val="24"/>
          <w:szCs w:val="24"/>
        </w:rPr>
        <w:t>d</w:t>
      </w:r>
      <w:r w:rsidR="00A52363" w:rsidRPr="00FC5861">
        <w:rPr>
          <w:rFonts w:ascii="Arial" w:hAnsi="Arial" w:cs="Arial"/>
          <w:sz w:val="24"/>
          <w:szCs w:val="24"/>
        </w:rPr>
        <w:t xml:space="preserve">evelop and implement outreach initiatives to educate and inform target populations about TGP and increase program/service participation. </w:t>
      </w:r>
      <w:r w:rsidR="003A5866" w:rsidRPr="00FC5861">
        <w:rPr>
          <w:rFonts w:ascii="Arial" w:hAnsi="Arial" w:cs="Arial"/>
          <w:sz w:val="24"/>
          <w:szCs w:val="24"/>
        </w:rPr>
        <w:t>Establish plan goals and measurable objectives</w:t>
      </w:r>
      <w:r w:rsidR="00D333D8" w:rsidRPr="00FC5861">
        <w:rPr>
          <w:rFonts w:ascii="Arial" w:hAnsi="Arial" w:cs="Arial"/>
          <w:sz w:val="24"/>
          <w:szCs w:val="24"/>
        </w:rPr>
        <w:t>.</w:t>
      </w:r>
    </w:p>
    <w:p w14:paraId="5E872C4E" w14:textId="5F176789" w:rsidR="0040092E" w:rsidRPr="00FC5861" w:rsidRDefault="00DA50C6" w:rsidP="00FC5861">
      <w:pPr>
        <w:pStyle w:val="ListParagraph"/>
        <w:numPr>
          <w:ilvl w:val="0"/>
          <w:numId w:val="5"/>
        </w:numPr>
        <w:rPr>
          <w:rFonts w:ascii="Arial" w:hAnsi="Arial" w:cs="Arial"/>
          <w:sz w:val="24"/>
          <w:szCs w:val="24"/>
        </w:rPr>
      </w:pPr>
      <w:r>
        <w:rPr>
          <w:rFonts w:ascii="Arial" w:hAnsi="Arial" w:cs="Arial"/>
          <w:sz w:val="24"/>
          <w:szCs w:val="24"/>
        </w:rPr>
        <w:t>C</w:t>
      </w:r>
      <w:r w:rsidR="00D333D8" w:rsidRPr="00FC5861">
        <w:rPr>
          <w:rFonts w:ascii="Arial" w:hAnsi="Arial" w:cs="Arial"/>
          <w:sz w:val="24"/>
          <w:szCs w:val="24"/>
        </w:rPr>
        <w:t>reate effective, ongoing relationships with various professional referring sources and community agencies, including Cancer Centers, Physicians</w:t>
      </w:r>
      <w:r w:rsidR="00DA4783" w:rsidRPr="00FC5861">
        <w:rPr>
          <w:rFonts w:ascii="Arial" w:hAnsi="Arial" w:cs="Arial"/>
          <w:sz w:val="24"/>
          <w:szCs w:val="24"/>
        </w:rPr>
        <w:t xml:space="preserve">, Nursing and Social Services </w:t>
      </w:r>
      <w:r w:rsidR="001B3D00" w:rsidRPr="00FC5861">
        <w:rPr>
          <w:rFonts w:ascii="Arial" w:hAnsi="Arial" w:cs="Arial"/>
          <w:sz w:val="24"/>
          <w:szCs w:val="24"/>
        </w:rPr>
        <w:t>staff,</w:t>
      </w:r>
      <w:r w:rsidR="00DA4783" w:rsidRPr="00FC5861">
        <w:rPr>
          <w:rFonts w:ascii="Arial" w:hAnsi="Arial" w:cs="Arial"/>
          <w:sz w:val="24"/>
          <w:szCs w:val="24"/>
        </w:rPr>
        <w:t xml:space="preserve"> promoting understanding and increased utilization of agency services. </w:t>
      </w:r>
    </w:p>
    <w:p w14:paraId="6229ACEE" w14:textId="12ACDF56" w:rsidR="00A52363" w:rsidRPr="00FC5861" w:rsidRDefault="00A52363" w:rsidP="00FC5861">
      <w:pPr>
        <w:pStyle w:val="ListParagraph"/>
        <w:numPr>
          <w:ilvl w:val="0"/>
          <w:numId w:val="5"/>
        </w:numPr>
        <w:rPr>
          <w:rFonts w:ascii="Arial" w:hAnsi="Arial" w:cs="Arial"/>
          <w:sz w:val="24"/>
          <w:szCs w:val="24"/>
        </w:rPr>
      </w:pPr>
      <w:r w:rsidRPr="00FC5861">
        <w:rPr>
          <w:rFonts w:ascii="Arial" w:hAnsi="Arial" w:cs="Arial"/>
          <w:sz w:val="24"/>
          <w:szCs w:val="24"/>
        </w:rPr>
        <w:t xml:space="preserve">Collaborate with the TGP Management team to develop, </w:t>
      </w:r>
      <w:r w:rsidR="001B3D00" w:rsidRPr="00FC5861">
        <w:rPr>
          <w:rFonts w:ascii="Arial" w:hAnsi="Arial" w:cs="Arial"/>
          <w:sz w:val="24"/>
          <w:szCs w:val="24"/>
        </w:rPr>
        <w:t>manage,</w:t>
      </w:r>
      <w:r w:rsidRPr="00FC5861">
        <w:rPr>
          <w:rFonts w:ascii="Arial" w:hAnsi="Arial" w:cs="Arial"/>
          <w:sz w:val="24"/>
          <w:szCs w:val="24"/>
        </w:rPr>
        <w:t xml:space="preserve"> and support data-</w:t>
      </w:r>
      <w:r w:rsidR="00D333D8" w:rsidRPr="00FC5861">
        <w:rPr>
          <w:rFonts w:ascii="Arial" w:hAnsi="Arial" w:cs="Arial"/>
          <w:sz w:val="24"/>
          <w:szCs w:val="24"/>
        </w:rPr>
        <w:t>informed</w:t>
      </w:r>
      <w:r w:rsidRPr="00FC5861">
        <w:rPr>
          <w:rFonts w:ascii="Arial" w:hAnsi="Arial" w:cs="Arial"/>
          <w:sz w:val="24"/>
          <w:szCs w:val="24"/>
        </w:rPr>
        <w:t xml:space="preserve"> diversity and inclusion outreach strategies (</w:t>
      </w:r>
      <w:r w:rsidR="007B29BB" w:rsidRPr="00FC5861">
        <w:rPr>
          <w:rFonts w:ascii="Arial" w:hAnsi="Arial" w:cs="Arial"/>
          <w:sz w:val="24"/>
          <w:szCs w:val="24"/>
        </w:rPr>
        <w:t>i.e.,</w:t>
      </w:r>
      <w:r w:rsidRPr="00FC5861">
        <w:rPr>
          <w:rFonts w:ascii="Arial" w:hAnsi="Arial" w:cs="Arial"/>
          <w:sz w:val="24"/>
          <w:szCs w:val="24"/>
        </w:rPr>
        <w:t xml:space="preserve"> Surveying community members, leading focus groups, etc.) </w:t>
      </w:r>
    </w:p>
    <w:p w14:paraId="06F52AD0" w14:textId="3FA05CA8" w:rsidR="0040092E" w:rsidRPr="00FC5861" w:rsidRDefault="00316FBA" w:rsidP="00FC5861">
      <w:pPr>
        <w:pStyle w:val="ListParagraph"/>
        <w:numPr>
          <w:ilvl w:val="0"/>
          <w:numId w:val="5"/>
        </w:numPr>
        <w:rPr>
          <w:rFonts w:ascii="Arial" w:hAnsi="Arial" w:cs="Arial"/>
          <w:sz w:val="24"/>
          <w:szCs w:val="24"/>
        </w:rPr>
      </w:pPr>
      <w:r w:rsidRPr="00FC5861">
        <w:rPr>
          <w:rFonts w:ascii="Arial" w:hAnsi="Arial" w:cs="Arial"/>
          <w:sz w:val="24"/>
          <w:szCs w:val="24"/>
        </w:rPr>
        <w:t xml:space="preserve">Represent agency at appropriate community and professional meetings; serve as liaison to groups thru networking, speaking engagements, health fairs and committee work. </w:t>
      </w:r>
      <w:r w:rsidR="00A52363" w:rsidRPr="00FC5861">
        <w:rPr>
          <w:rFonts w:ascii="Arial" w:hAnsi="Arial" w:cs="Arial"/>
          <w:sz w:val="24"/>
          <w:szCs w:val="24"/>
        </w:rPr>
        <w:t>Pursue professional memberships (</w:t>
      </w:r>
      <w:r w:rsidR="007B29BB" w:rsidRPr="00FC5861">
        <w:rPr>
          <w:rFonts w:ascii="Arial" w:hAnsi="Arial" w:cs="Arial"/>
          <w:sz w:val="24"/>
          <w:szCs w:val="24"/>
        </w:rPr>
        <w:t>i.e.,</w:t>
      </w:r>
      <w:r w:rsidR="00A52363" w:rsidRPr="00FC5861">
        <w:rPr>
          <w:rFonts w:ascii="Arial" w:hAnsi="Arial" w:cs="Arial"/>
          <w:sz w:val="24"/>
          <w:szCs w:val="24"/>
        </w:rPr>
        <w:t xml:space="preserve"> Local boards/committees, chamber of commerce, etc.) to represent and promote TGP programs and services. </w:t>
      </w:r>
    </w:p>
    <w:p w14:paraId="5E14ECD4" w14:textId="3F2E1EAB" w:rsidR="00A52363" w:rsidRPr="00DA50C6" w:rsidRDefault="00A52363" w:rsidP="00DA50C6">
      <w:pPr>
        <w:pStyle w:val="ListParagraph"/>
        <w:numPr>
          <w:ilvl w:val="0"/>
          <w:numId w:val="5"/>
        </w:numPr>
        <w:rPr>
          <w:rFonts w:ascii="Arial" w:hAnsi="Arial" w:cs="Arial"/>
          <w:sz w:val="24"/>
          <w:szCs w:val="24"/>
        </w:rPr>
      </w:pPr>
      <w:r w:rsidRPr="00DA50C6">
        <w:rPr>
          <w:rFonts w:ascii="Arial" w:hAnsi="Arial" w:cs="Arial"/>
          <w:sz w:val="24"/>
          <w:szCs w:val="24"/>
        </w:rPr>
        <w:t>Collaborate with the Director of Marketing in the development of community related visual content (</w:t>
      </w:r>
      <w:r w:rsidR="007B29BB" w:rsidRPr="00DA50C6">
        <w:rPr>
          <w:rFonts w:ascii="Arial" w:hAnsi="Arial" w:cs="Arial"/>
          <w:sz w:val="24"/>
          <w:szCs w:val="24"/>
        </w:rPr>
        <w:t>i.e.,</w:t>
      </w:r>
      <w:r w:rsidRPr="00DA50C6">
        <w:rPr>
          <w:rFonts w:ascii="Arial" w:hAnsi="Arial" w:cs="Arial"/>
          <w:sz w:val="24"/>
          <w:szCs w:val="24"/>
        </w:rPr>
        <w:t xml:space="preserve"> Event flyers, targeted emails, social media posts and slide decks). </w:t>
      </w:r>
    </w:p>
    <w:p w14:paraId="63CE5EC0" w14:textId="123930CF" w:rsidR="00A52363" w:rsidRDefault="005B0551" w:rsidP="00DA50C6">
      <w:pPr>
        <w:pStyle w:val="ListParagraph"/>
        <w:numPr>
          <w:ilvl w:val="0"/>
          <w:numId w:val="5"/>
        </w:numPr>
        <w:rPr>
          <w:rFonts w:ascii="Arial" w:hAnsi="Arial" w:cs="Arial"/>
          <w:sz w:val="24"/>
          <w:szCs w:val="24"/>
        </w:rPr>
      </w:pPr>
      <w:r w:rsidRPr="00DA50C6">
        <w:rPr>
          <w:rFonts w:ascii="Arial" w:hAnsi="Arial" w:cs="Arial"/>
          <w:sz w:val="24"/>
          <w:szCs w:val="24"/>
        </w:rPr>
        <w:t xml:space="preserve">Monitor and Evaluate referral data from all referring sources. </w:t>
      </w:r>
      <w:r w:rsidR="00A52363" w:rsidRPr="00DA50C6">
        <w:rPr>
          <w:rFonts w:ascii="Arial" w:hAnsi="Arial" w:cs="Arial"/>
          <w:sz w:val="24"/>
          <w:szCs w:val="24"/>
        </w:rPr>
        <w:t xml:space="preserve"> Maintain Blackbaud </w:t>
      </w:r>
      <w:r w:rsidR="003B5D20" w:rsidRPr="00DA50C6">
        <w:rPr>
          <w:rFonts w:ascii="Arial" w:hAnsi="Arial" w:cs="Arial"/>
          <w:sz w:val="24"/>
          <w:szCs w:val="24"/>
        </w:rPr>
        <w:t xml:space="preserve">and or Apricot </w:t>
      </w:r>
      <w:r w:rsidR="00A52363" w:rsidRPr="00DA50C6">
        <w:rPr>
          <w:rFonts w:ascii="Arial" w:hAnsi="Arial" w:cs="Arial"/>
          <w:sz w:val="24"/>
          <w:szCs w:val="24"/>
        </w:rPr>
        <w:t>database with accurate relationship deve</w:t>
      </w:r>
      <w:r w:rsidR="003B5D20" w:rsidRPr="00DA50C6">
        <w:rPr>
          <w:rFonts w:ascii="Arial" w:hAnsi="Arial" w:cs="Arial"/>
          <w:sz w:val="24"/>
          <w:szCs w:val="24"/>
        </w:rPr>
        <w:t xml:space="preserve">lopment records and information as appropriate. </w:t>
      </w:r>
      <w:r w:rsidRPr="00DA50C6">
        <w:rPr>
          <w:rFonts w:ascii="Arial" w:hAnsi="Arial" w:cs="Arial"/>
          <w:sz w:val="24"/>
          <w:szCs w:val="24"/>
        </w:rPr>
        <w:t xml:space="preserve">Assure accurate and timely quantitative documentation of outreach </w:t>
      </w:r>
      <w:r w:rsidR="003F7788" w:rsidRPr="00DA50C6">
        <w:rPr>
          <w:rFonts w:ascii="Arial" w:hAnsi="Arial" w:cs="Arial"/>
          <w:sz w:val="24"/>
          <w:szCs w:val="24"/>
        </w:rPr>
        <w:t>activities,</w:t>
      </w:r>
      <w:r w:rsidRPr="00DA50C6">
        <w:rPr>
          <w:rFonts w:ascii="Arial" w:hAnsi="Arial" w:cs="Arial"/>
          <w:sz w:val="24"/>
          <w:szCs w:val="24"/>
        </w:rPr>
        <w:t xml:space="preserve"> tracks data and reports on overall effectiveness of outreach in impacting growth.</w:t>
      </w:r>
    </w:p>
    <w:p w14:paraId="73186442" w14:textId="6B420667" w:rsidR="00773587" w:rsidRPr="00DA50C6" w:rsidRDefault="00773587" w:rsidP="00DA50C6">
      <w:pPr>
        <w:pStyle w:val="ListParagraph"/>
        <w:numPr>
          <w:ilvl w:val="0"/>
          <w:numId w:val="5"/>
        </w:numPr>
        <w:rPr>
          <w:rFonts w:ascii="Arial" w:hAnsi="Arial" w:cs="Arial"/>
          <w:sz w:val="24"/>
          <w:szCs w:val="24"/>
        </w:rPr>
      </w:pPr>
      <w:r w:rsidRPr="00DA50C6">
        <w:rPr>
          <w:rFonts w:ascii="Arial" w:hAnsi="Arial" w:cs="Arial"/>
          <w:sz w:val="24"/>
          <w:szCs w:val="24"/>
        </w:rPr>
        <w:lastRenderedPageBreak/>
        <w:t>Collaborate with Volunteer Services Manager</w:t>
      </w:r>
      <w:r w:rsidR="00282BB5" w:rsidRPr="00DA50C6">
        <w:rPr>
          <w:rFonts w:ascii="Arial" w:hAnsi="Arial" w:cs="Arial"/>
          <w:sz w:val="24"/>
          <w:szCs w:val="24"/>
        </w:rPr>
        <w:t xml:space="preserve"> to secure volunteers</w:t>
      </w:r>
      <w:r w:rsidRPr="00DA50C6">
        <w:rPr>
          <w:rFonts w:ascii="Arial" w:hAnsi="Arial" w:cs="Arial"/>
          <w:sz w:val="24"/>
          <w:szCs w:val="24"/>
        </w:rPr>
        <w:t xml:space="preserve"> and Chief Program Officer </w:t>
      </w:r>
      <w:r w:rsidR="00E51075" w:rsidRPr="00DA50C6">
        <w:rPr>
          <w:rFonts w:ascii="Arial" w:hAnsi="Arial" w:cs="Arial"/>
          <w:sz w:val="24"/>
          <w:szCs w:val="24"/>
        </w:rPr>
        <w:t>for</w:t>
      </w:r>
      <w:r w:rsidRPr="00DA50C6">
        <w:rPr>
          <w:rFonts w:ascii="Arial" w:hAnsi="Arial" w:cs="Arial"/>
          <w:sz w:val="24"/>
          <w:szCs w:val="24"/>
        </w:rPr>
        <w:t xml:space="preserve"> </w:t>
      </w:r>
      <w:r w:rsidR="00283299" w:rsidRPr="00DA50C6">
        <w:rPr>
          <w:rFonts w:ascii="Arial" w:hAnsi="Arial" w:cs="Arial"/>
          <w:sz w:val="24"/>
          <w:szCs w:val="24"/>
        </w:rPr>
        <w:t xml:space="preserve">appropriate use of </w:t>
      </w:r>
      <w:r w:rsidRPr="00DA50C6">
        <w:rPr>
          <w:rFonts w:ascii="Arial" w:hAnsi="Arial" w:cs="Arial"/>
          <w:sz w:val="24"/>
          <w:szCs w:val="24"/>
        </w:rPr>
        <w:t>Program staff</w:t>
      </w:r>
      <w:r w:rsidR="000F6383" w:rsidRPr="00DA50C6">
        <w:rPr>
          <w:rFonts w:ascii="Arial" w:hAnsi="Arial" w:cs="Arial"/>
          <w:sz w:val="24"/>
          <w:szCs w:val="24"/>
        </w:rPr>
        <w:t xml:space="preserve"> for</w:t>
      </w:r>
      <w:r w:rsidRPr="00DA50C6">
        <w:rPr>
          <w:rFonts w:ascii="Arial" w:hAnsi="Arial" w:cs="Arial"/>
          <w:sz w:val="24"/>
          <w:szCs w:val="24"/>
        </w:rPr>
        <w:t xml:space="preserve"> participation in outreach events, meetings, education sessions and overall community and professional outreach opportunities</w:t>
      </w:r>
    </w:p>
    <w:p w14:paraId="7F15CE81" w14:textId="3CC15CC6" w:rsidR="00A52363" w:rsidRPr="00DA50C6" w:rsidRDefault="00A52363" w:rsidP="00DA50C6">
      <w:pPr>
        <w:pStyle w:val="ListParagraph"/>
        <w:numPr>
          <w:ilvl w:val="0"/>
          <w:numId w:val="5"/>
        </w:numPr>
        <w:rPr>
          <w:rFonts w:ascii="Arial" w:hAnsi="Arial" w:cs="Arial"/>
          <w:sz w:val="24"/>
          <w:szCs w:val="24"/>
        </w:rPr>
      </w:pPr>
      <w:r w:rsidRPr="00DA50C6">
        <w:rPr>
          <w:rFonts w:ascii="Arial" w:hAnsi="Arial" w:cs="Arial"/>
          <w:sz w:val="24"/>
          <w:szCs w:val="24"/>
        </w:rPr>
        <w:t xml:space="preserve">Establish and maintain community communications calendar and manage scheduled stewardship actions. </w:t>
      </w:r>
    </w:p>
    <w:p w14:paraId="22317D7A" w14:textId="25B035F9" w:rsidR="00C70E7A" w:rsidRPr="00C624AF" w:rsidRDefault="00A52363" w:rsidP="00C70E7A">
      <w:pPr>
        <w:rPr>
          <w:rFonts w:ascii="Arial" w:hAnsi="Arial" w:cs="Arial"/>
          <w:sz w:val="24"/>
          <w:szCs w:val="24"/>
        </w:rPr>
      </w:pPr>
      <w:r w:rsidRPr="00C624AF">
        <w:rPr>
          <w:rFonts w:ascii="Arial" w:hAnsi="Arial" w:cs="Arial"/>
          <w:b/>
          <w:bCs/>
          <w:sz w:val="24"/>
          <w:szCs w:val="24"/>
        </w:rPr>
        <w:t>Requirements:</w:t>
      </w:r>
      <w:r w:rsidR="00C70E7A" w:rsidRPr="00C624AF">
        <w:rPr>
          <w:rFonts w:ascii="Arial" w:hAnsi="Arial" w:cs="Arial"/>
          <w:sz w:val="24"/>
          <w:szCs w:val="24"/>
        </w:rPr>
        <w:t xml:space="preserve"> </w:t>
      </w:r>
    </w:p>
    <w:p w14:paraId="0B4BBE9E" w14:textId="77777777" w:rsidR="000A6FC6" w:rsidRPr="00852BBE" w:rsidRDefault="000A6FC6" w:rsidP="00A52363">
      <w:pPr>
        <w:widowControl w:val="0"/>
        <w:numPr>
          <w:ilvl w:val="12"/>
          <w:numId w:val="0"/>
        </w:numPr>
        <w:tabs>
          <w:tab w:val="left" w:pos="-1440"/>
          <w:tab w:val="left" w:pos="-720"/>
          <w:tab w:val="left" w:pos="0"/>
          <w:tab w:val="left" w:pos="720"/>
          <w:tab w:val="left" w:pos="1268"/>
          <w:tab w:val="left" w:pos="1561"/>
          <w:tab w:val="left" w:pos="4050"/>
        </w:tabs>
        <w:jc w:val="both"/>
        <w:rPr>
          <w:rFonts w:ascii="Arial" w:hAnsi="Arial" w:cs="Arial"/>
          <w:b/>
          <w:sz w:val="16"/>
          <w:szCs w:val="16"/>
        </w:rPr>
      </w:pPr>
    </w:p>
    <w:p w14:paraId="5231647F" w14:textId="44EE76AE" w:rsidR="00A52363" w:rsidRPr="00C624AF" w:rsidRDefault="00A52363" w:rsidP="00A52363">
      <w:pPr>
        <w:widowControl w:val="0"/>
        <w:numPr>
          <w:ilvl w:val="12"/>
          <w:numId w:val="0"/>
        </w:numPr>
        <w:tabs>
          <w:tab w:val="left" w:pos="-1440"/>
          <w:tab w:val="left" w:pos="-720"/>
          <w:tab w:val="left" w:pos="0"/>
          <w:tab w:val="left" w:pos="720"/>
          <w:tab w:val="left" w:pos="1268"/>
          <w:tab w:val="left" w:pos="1561"/>
          <w:tab w:val="left" w:pos="4050"/>
        </w:tabs>
        <w:jc w:val="both"/>
        <w:rPr>
          <w:rFonts w:ascii="Arial" w:hAnsi="Arial" w:cs="Arial"/>
          <w:b/>
          <w:sz w:val="24"/>
          <w:szCs w:val="24"/>
        </w:rPr>
      </w:pPr>
      <w:r w:rsidRPr="00C624AF">
        <w:rPr>
          <w:rFonts w:ascii="Arial" w:hAnsi="Arial" w:cs="Arial"/>
          <w:b/>
          <w:sz w:val="24"/>
          <w:szCs w:val="24"/>
        </w:rPr>
        <w:t>Education/Experience</w:t>
      </w:r>
    </w:p>
    <w:p w14:paraId="4BE9378D" w14:textId="77777777" w:rsidR="00A52363" w:rsidRPr="00C624AF" w:rsidRDefault="00A52363" w:rsidP="00A52363">
      <w:pPr>
        <w:widowControl w:val="0"/>
        <w:numPr>
          <w:ilvl w:val="12"/>
          <w:numId w:val="0"/>
        </w:numPr>
        <w:tabs>
          <w:tab w:val="left" w:pos="-1440"/>
          <w:tab w:val="left" w:pos="-720"/>
          <w:tab w:val="left" w:pos="0"/>
          <w:tab w:val="left" w:pos="720"/>
          <w:tab w:val="left" w:pos="1268"/>
          <w:tab w:val="left" w:pos="1561"/>
          <w:tab w:val="left" w:pos="4050"/>
        </w:tabs>
        <w:jc w:val="both"/>
        <w:rPr>
          <w:rFonts w:ascii="Arial" w:hAnsi="Arial" w:cs="Arial"/>
          <w:sz w:val="24"/>
          <w:szCs w:val="24"/>
        </w:rPr>
      </w:pPr>
      <w:r w:rsidRPr="00C624AF">
        <w:rPr>
          <w:rFonts w:ascii="Arial" w:hAnsi="Arial" w:cs="Arial"/>
          <w:sz w:val="24"/>
          <w:szCs w:val="24"/>
        </w:rPr>
        <w:t>Graduation from an accredited college or university, with the possession of a bachelor’s degree in business, marketing or public relations preferred. Considerable experience in marketing and sales, preferably in healthcare, and demonstrated experience in successfully developing effective refe</w:t>
      </w:r>
      <w:r w:rsidR="003B5D20" w:rsidRPr="00C624AF">
        <w:rPr>
          <w:rFonts w:ascii="Arial" w:hAnsi="Arial" w:cs="Arial"/>
          <w:sz w:val="24"/>
          <w:szCs w:val="24"/>
        </w:rPr>
        <w:t>rral resources in the community.</w:t>
      </w:r>
    </w:p>
    <w:p w14:paraId="4D04FDC7" w14:textId="77777777" w:rsidR="00A52363" w:rsidRPr="00C624AF" w:rsidRDefault="00A52363" w:rsidP="00A52363">
      <w:pPr>
        <w:widowControl w:val="0"/>
        <w:numPr>
          <w:ilvl w:val="0"/>
          <w:numId w:val="1"/>
        </w:numPr>
        <w:tabs>
          <w:tab w:val="left" w:pos="-1440"/>
          <w:tab w:val="left" w:pos="-720"/>
          <w:tab w:val="left" w:pos="0"/>
          <w:tab w:val="left" w:pos="720"/>
          <w:tab w:val="left" w:pos="1268"/>
          <w:tab w:val="left" w:pos="1561"/>
          <w:tab w:val="left" w:pos="4050"/>
        </w:tabs>
        <w:spacing w:after="0" w:line="240" w:lineRule="auto"/>
        <w:jc w:val="both"/>
        <w:rPr>
          <w:rFonts w:ascii="Arial" w:hAnsi="Arial" w:cs="Arial"/>
          <w:sz w:val="24"/>
          <w:szCs w:val="24"/>
        </w:rPr>
      </w:pPr>
      <w:r w:rsidRPr="00C624AF">
        <w:rPr>
          <w:rFonts w:ascii="Arial" w:hAnsi="Arial" w:cs="Arial"/>
          <w:sz w:val="24"/>
          <w:szCs w:val="24"/>
        </w:rPr>
        <w:t>Considerable knowledge of and experience in marketing and community relations.</w:t>
      </w:r>
    </w:p>
    <w:p w14:paraId="5388A82A" w14:textId="77777777" w:rsidR="00A52363" w:rsidRPr="00C624AF" w:rsidRDefault="00A52363" w:rsidP="00A52363">
      <w:pPr>
        <w:widowControl w:val="0"/>
        <w:numPr>
          <w:ilvl w:val="0"/>
          <w:numId w:val="1"/>
        </w:numPr>
        <w:tabs>
          <w:tab w:val="left" w:pos="-1440"/>
          <w:tab w:val="left" w:pos="-720"/>
          <w:tab w:val="left" w:pos="0"/>
          <w:tab w:val="left" w:pos="720"/>
          <w:tab w:val="left" w:pos="1268"/>
          <w:tab w:val="left" w:pos="1561"/>
          <w:tab w:val="left" w:pos="4050"/>
        </w:tabs>
        <w:spacing w:after="0" w:line="240" w:lineRule="auto"/>
        <w:jc w:val="both"/>
        <w:rPr>
          <w:rFonts w:ascii="Arial" w:hAnsi="Arial" w:cs="Arial"/>
          <w:sz w:val="24"/>
          <w:szCs w:val="24"/>
        </w:rPr>
      </w:pPr>
      <w:r w:rsidRPr="00C624AF">
        <w:rPr>
          <w:rFonts w:ascii="Arial" w:hAnsi="Arial" w:cs="Arial"/>
          <w:sz w:val="24"/>
          <w:szCs w:val="24"/>
        </w:rPr>
        <w:t>Knowledge in the design and execution of marketing and community relations programs and activities.</w:t>
      </w:r>
    </w:p>
    <w:p w14:paraId="3CA82A2D" w14:textId="7199AB32" w:rsidR="00A52363" w:rsidRPr="00C624AF" w:rsidRDefault="00A52363" w:rsidP="00A52363">
      <w:pPr>
        <w:widowControl w:val="0"/>
        <w:numPr>
          <w:ilvl w:val="0"/>
          <w:numId w:val="1"/>
        </w:numPr>
        <w:tabs>
          <w:tab w:val="left" w:pos="-1440"/>
          <w:tab w:val="left" w:pos="-720"/>
          <w:tab w:val="left" w:pos="0"/>
          <w:tab w:val="left" w:pos="720"/>
          <w:tab w:val="left" w:pos="1268"/>
          <w:tab w:val="left" w:pos="1561"/>
          <w:tab w:val="left" w:pos="4050"/>
        </w:tabs>
        <w:spacing w:after="0" w:line="240" w:lineRule="auto"/>
        <w:jc w:val="both"/>
        <w:rPr>
          <w:rFonts w:ascii="Arial" w:hAnsi="Arial" w:cs="Arial"/>
          <w:sz w:val="24"/>
          <w:szCs w:val="24"/>
        </w:rPr>
      </w:pPr>
      <w:r w:rsidRPr="00C624AF">
        <w:rPr>
          <w:rFonts w:ascii="Arial" w:hAnsi="Arial" w:cs="Arial"/>
          <w:sz w:val="24"/>
          <w:szCs w:val="24"/>
        </w:rPr>
        <w:t>Ability to plan, organize and direct a variety of outreach and community relations programs and activities within the strategic goals of TGP.</w:t>
      </w:r>
    </w:p>
    <w:p w14:paraId="1A66CECD" w14:textId="77777777" w:rsidR="00A52363" w:rsidRPr="00C624AF" w:rsidRDefault="00A52363" w:rsidP="00A52363">
      <w:pPr>
        <w:widowControl w:val="0"/>
        <w:numPr>
          <w:ilvl w:val="0"/>
          <w:numId w:val="1"/>
        </w:numPr>
        <w:tabs>
          <w:tab w:val="left" w:pos="-1440"/>
          <w:tab w:val="left" w:pos="-720"/>
          <w:tab w:val="left" w:pos="0"/>
          <w:tab w:val="left" w:pos="720"/>
          <w:tab w:val="left" w:pos="1268"/>
          <w:tab w:val="left" w:pos="1561"/>
          <w:tab w:val="left" w:pos="4050"/>
        </w:tabs>
        <w:spacing w:after="0" w:line="240" w:lineRule="auto"/>
        <w:jc w:val="both"/>
        <w:rPr>
          <w:rFonts w:ascii="Arial" w:hAnsi="Arial" w:cs="Arial"/>
          <w:sz w:val="24"/>
          <w:szCs w:val="24"/>
        </w:rPr>
      </w:pPr>
      <w:r w:rsidRPr="00C624AF">
        <w:rPr>
          <w:rFonts w:ascii="Arial" w:hAnsi="Arial" w:cs="Arial"/>
          <w:sz w:val="24"/>
          <w:szCs w:val="24"/>
        </w:rPr>
        <w:t>Ability to communicate effectively, orally and in writing.</w:t>
      </w:r>
    </w:p>
    <w:p w14:paraId="751848C4" w14:textId="77777777" w:rsidR="00A52363" w:rsidRPr="00C624AF" w:rsidRDefault="00A52363" w:rsidP="00A52363">
      <w:pPr>
        <w:widowControl w:val="0"/>
        <w:numPr>
          <w:ilvl w:val="0"/>
          <w:numId w:val="1"/>
        </w:numPr>
        <w:tabs>
          <w:tab w:val="left" w:pos="-1440"/>
          <w:tab w:val="left" w:pos="-720"/>
          <w:tab w:val="left" w:pos="0"/>
          <w:tab w:val="left" w:pos="720"/>
          <w:tab w:val="left" w:pos="1268"/>
          <w:tab w:val="left" w:pos="1561"/>
          <w:tab w:val="left" w:pos="4050"/>
        </w:tabs>
        <w:spacing w:after="0" w:line="240" w:lineRule="auto"/>
        <w:jc w:val="both"/>
        <w:rPr>
          <w:rFonts w:ascii="Arial" w:hAnsi="Arial" w:cs="Arial"/>
          <w:sz w:val="24"/>
          <w:szCs w:val="24"/>
        </w:rPr>
      </w:pPr>
      <w:r w:rsidRPr="00C624AF">
        <w:rPr>
          <w:rFonts w:ascii="Arial" w:hAnsi="Arial" w:cs="Arial"/>
          <w:sz w:val="24"/>
          <w:szCs w:val="24"/>
        </w:rPr>
        <w:t>Ability to present to groups in person and virtually.</w:t>
      </w:r>
    </w:p>
    <w:p w14:paraId="3FAC6D2E" w14:textId="77777777" w:rsidR="00A52363" w:rsidRPr="00C624AF" w:rsidRDefault="00A52363" w:rsidP="00A52363">
      <w:pPr>
        <w:widowControl w:val="0"/>
        <w:numPr>
          <w:ilvl w:val="0"/>
          <w:numId w:val="1"/>
        </w:numPr>
        <w:tabs>
          <w:tab w:val="left" w:pos="-1440"/>
          <w:tab w:val="left" w:pos="-720"/>
          <w:tab w:val="left" w:pos="0"/>
          <w:tab w:val="left" w:pos="720"/>
          <w:tab w:val="left" w:pos="1268"/>
          <w:tab w:val="left" w:pos="1561"/>
          <w:tab w:val="left" w:pos="4050"/>
        </w:tabs>
        <w:spacing w:after="0" w:line="240" w:lineRule="auto"/>
        <w:jc w:val="both"/>
        <w:rPr>
          <w:rFonts w:ascii="Arial" w:hAnsi="Arial" w:cs="Arial"/>
          <w:sz w:val="24"/>
          <w:szCs w:val="24"/>
        </w:rPr>
      </w:pPr>
      <w:r w:rsidRPr="00C624AF">
        <w:rPr>
          <w:rFonts w:ascii="Arial" w:hAnsi="Arial" w:cs="Arial"/>
          <w:sz w:val="24"/>
          <w:szCs w:val="24"/>
        </w:rPr>
        <w:t>Ab</w:t>
      </w:r>
      <w:r w:rsidR="003B5D20" w:rsidRPr="00C624AF">
        <w:rPr>
          <w:rFonts w:ascii="Arial" w:hAnsi="Arial" w:cs="Arial"/>
          <w:sz w:val="24"/>
          <w:szCs w:val="24"/>
        </w:rPr>
        <w:t xml:space="preserve">ility to collaborate and </w:t>
      </w:r>
      <w:r w:rsidRPr="00C624AF">
        <w:rPr>
          <w:rFonts w:ascii="Arial" w:hAnsi="Arial" w:cs="Arial"/>
          <w:sz w:val="24"/>
          <w:szCs w:val="24"/>
        </w:rPr>
        <w:t>establish effective working relationships with others.</w:t>
      </w:r>
    </w:p>
    <w:p w14:paraId="54E55FCB" w14:textId="26583A1B" w:rsidR="00A52363" w:rsidRPr="00C624AF" w:rsidRDefault="00A52363" w:rsidP="00A52363">
      <w:pPr>
        <w:widowControl w:val="0"/>
        <w:numPr>
          <w:ilvl w:val="0"/>
          <w:numId w:val="1"/>
        </w:numPr>
        <w:tabs>
          <w:tab w:val="left" w:pos="-1440"/>
          <w:tab w:val="left" w:pos="-720"/>
          <w:tab w:val="left" w:pos="0"/>
          <w:tab w:val="left" w:pos="720"/>
          <w:tab w:val="left" w:pos="1268"/>
          <w:tab w:val="left" w:pos="1561"/>
          <w:tab w:val="left" w:pos="4050"/>
        </w:tabs>
        <w:spacing w:after="0" w:line="240" w:lineRule="auto"/>
        <w:jc w:val="both"/>
        <w:rPr>
          <w:rFonts w:ascii="Arial" w:hAnsi="Arial" w:cs="Arial"/>
          <w:sz w:val="24"/>
          <w:szCs w:val="24"/>
        </w:rPr>
      </w:pPr>
      <w:r w:rsidRPr="00C624AF">
        <w:rPr>
          <w:rFonts w:ascii="Arial" w:hAnsi="Arial" w:cs="Arial"/>
          <w:sz w:val="24"/>
          <w:szCs w:val="24"/>
        </w:rPr>
        <w:t>Ability to work independently and within a team</w:t>
      </w:r>
      <w:r w:rsidR="00FA4F3D">
        <w:rPr>
          <w:rFonts w:ascii="Arial" w:hAnsi="Arial" w:cs="Arial"/>
          <w:sz w:val="24"/>
          <w:szCs w:val="24"/>
        </w:rPr>
        <w:t>.</w:t>
      </w:r>
    </w:p>
    <w:p w14:paraId="7E98BFAA" w14:textId="77777777" w:rsidR="00A52363" w:rsidRPr="00C624AF" w:rsidRDefault="00A52363" w:rsidP="00A52363">
      <w:pPr>
        <w:widowControl w:val="0"/>
        <w:numPr>
          <w:ilvl w:val="0"/>
          <w:numId w:val="1"/>
        </w:numPr>
        <w:tabs>
          <w:tab w:val="left" w:pos="-1440"/>
          <w:tab w:val="left" w:pos="-720"/>
          <w:tab w:val="left" w:pos="0"/>
          <w:tab w:val="left" w:pos="720"/>
          <w:tab w:val="left" w:pos="1268"/>
          <w:tab w:val="left" w:pos="1561"/>
          <w:tab w:val="left" w:pos="4050"/>
        </w:tabs>
        <w:spacing w:after="0" w:line="240" w:lineRule="auto"/>
        <w:jc w:val="both"/>
        <w:rPr>
          <w:rFonts w:ascii="Arial" w:hAnsi="Arial" w:cs="Arial"/>
          <w:sz w:val="24"/>
          <w:szCs w:val="24"/>
        </w:rPr>
      </w:pPr>
      <w:r w:rsidRPr="00C624AF">
        <w:rPr>
          <w:rFonts w:ascii="Arial" w:hAnsi="Arial" w:cs="Arial"/>
          <w:sz w:val="24"/>
          <w:szCs w:val="24"/>
        </w:rPr>
        <w:t xml:space="preserve">Ability to maintain accurate and confidential records. </w:t>
      </w:r>
    </w:p>
    <w:p w14:paraId="44FDE38E" w14:textId="77777777" w:rsidR="00A52363" w:rsidRPr="00C624AF" w:rsidRDefault="00A52363" w:rsidP="00A52363">
      <w:pPr>
        <w:widowControl w:val="0"/>
        <w:numPr>
          <w:ilvl w:val="0"/>
          <w:numId w:val="1"/>
        </w:numPr>
        <w:tabs>
          <w:tab w:val="left" w:pos="-1440"/>
          <w:tab w:val="left" w:pos="-720"/>
          <w:tab w:val="left" w:pos="0"/>
          <w:tab w:val="left" w:pos="720"/>
          <w:tab w:val="left" w:pos="1268"/>
          <w:tab w:val="left" w:pos="1561"/>
          <w:tab w:val="left" w:pos="4050"/>
        </w:tabs>
        <w:spacing w:after="0" w:line="240" w:lineRule="auto"/>
        <w:jc w:val="both"/>
        <w:rPr>
          <w:rFonts w:ascii="Arial" w:hAnsi="Arial" w:cs="Arial"/>
          <w:sz w:val="24"/>
          <w:szCs w:val="24"/>
        </w:rPr>
      </w:pPr>
      <w:r w:rsidRPr="00C624AF">
        <w:rPr>
          <w:rFonts w:ascii="Arial" w:hAnsi="Arial" w:cs="Arial"/>
          <w:sz w:val="24"/>
          <w:szCs w:val="24"/>
        </w:rPr>
        <w:t xml:space="preserve">Ability to have a valid driver's license, good driving record and auto accident insurance </w:t>
      </w:r>
    </w:p>
    <w:p w14:paraId="5B0F8FBB" w14:textId="77777777" w:rsidR="00A52363" w:rsidRPr="00C624AF" w:rsidRDefault="00A52363" w:rsidP="00A52363">
      <w:pPr>
        <w:widowControl w:val="0"/>
        <w:numPr>
          <w:ilvl w:val="0"/>
          <w:numId w:val="1"/>
        </w:numPr>
        <w:tabs>
          <w:tab w:val="left" w:pos="-1440"/>
          <w:tab w:val="left" w:pos="-720"/>
          <w:tab w:val="left" w:pos="0"/>
          <w:tab w:val="left" w:pos="720"/>
          <w:tab w:val="left" w:pos="1268"/>
          <w:tab w:val="left" w:pos="1561"/>
          <w:tab w:val="left" w:pos="4050"/>
        </w:tabs>
        <w:spacing w:after="0" w:line="240" w:lineRule="auto"/>
        <w:jc w:val="both"/>
        <w:rPr>
          <w:rFonts w:ascii="Arial" w:hAnsi="Arial" w:cs="Arial"/>
          <w:sz w:val="24"/>
          <w:szCs w:val="24"/>
        </w:rPr>
      </w:pPr>
      <w:r w:rsidRPr="00C624AF">
        <w:rPr>
          <w:rFonts w:ascii="Arial" w:hAnsi="Arial" w:cs="Arial"/>
          <w:sz w:val="24"/>
          <w:szCs w:val="24"/>
        </w:rPr>
        <w:t>Skill with Microsoft Office and other software</w:t>
      </w:r>
      <w:r w:rsidR="003B5D20" w:rsidRPr="00C624AF">
        <w:rPr>
          <w:rFonts w:ascii="Arial" w:hAnsi="Arial" w:cs="Arial"/>
          <w:sz w:val="24"/>
          <w:szCs w:val="24"/>
        </w:rPr>
        <w:t xml:space="preserve"> as required</w:t>
      </w:r>
      <w:r w:rsidRPr="00C624AF">
        <w:rPr>
          <w:rFonts w:ascii="Arial" w:hAnsi="Arial" w:cs="Arial"/>
          <w:sz w:val="24"/>
          <w:szCs w:val="24"/>
        </w:rPr>
        <w:t>.</w:t>
      </w:r>
    </w:p>
    <w:p w14:paraId="7F09EE45" w14:textId="55808683" w:rsidR="00A52363" w:rsidRPr="00C624AF" w:rsidRDefault="00A52363" w:rsidP="00A52363">
      <w:pPr>
        <w:widowControl w:val="0"/>
        <w:tabs>
          <w:tab w:val="left" w:pos="-1440"/>
          <w:tab w:val="left" w:pos="-720"/>
          <w:tab w:val="left" w:pos="0"/>
          <w:tab w:val="left" w:pos="720"/>
          <w:tab w:val="left" w:pos="1268"/>
          <w:tab w:val="left" w:pos="1561"/>
          <w:tab w:val="left" w:pos="4050"/>
        </w:tabs>
        <w:jc w:val="both"/>
        <w:rPr>
          <w:rFonts w:ascii="Arial" w:hAnsi="Arial" w:cs="Arial"/>
          <w:sz w:val="24"/>
          <w:szCs w:val="24"/>
        </w:rPr>
      </w:pPr>
    </w:p>
    <w:p w14:paraId="3B06B824" w14:textId="77777777" w:rsidR="00A52363" w:rsidRPr="00C624AF" w:rsidRDefault="00A52363" w:rsidP="00A52363">
      <w:pPr>
        <w:widowControl w:val="0"/>
        <w:tabs>
          <w:tab w:val="left" w:pos="-1440"/>
          <w:tab w:val="left" w:pos="-720"/>
          <w:tab w:val="left" w:pos="0"/>
          <w:tab w:val="left" w:pos="720"/>
          <w:tab w:val="left" w:pos="1268"/>
          <w:tab w:val="left" w:pos="1561"/>
          <w:tab w:val="left" w:pos="4050"/>
        </w:tabs>
        <w:jc w:val="both"/>
        <w:rPr>
          <w:rFonts w:ascii="Arial" w:hAnsi="Arial" w:cs="Arial"/>
          <w:b/>
          <w:sz w:val="24"/>
          <w:szCs w:val="24"/>
        </w:rPr>
      </w:pPr>
      <w:r w:rsidRPr="00C624AF">
        <w:rPr>
          <w:rFonts w:ascii="Arial" w:hAnsi="Arial" w:cs="Arial"/>
          <w:b/>
          <w:sz w:val="24"/>
          <w:szCs w:val="24"/>
        </w:rPr>
        <w:t>Physical</w:t>
      </w:r>
    </w:p>
    <w:p w14:paraId="0BD30649" w14:textId="77777777" w:rsidR="00A52363" w:rsidRPr="00C624AF" w:rsidRDefault="00A52363" w:rsidP="00A52363">
      <w:pPr>
        <w:widowControl w:val="0"/>
        <w:numPr>
          <w:ilvl w:val="0"/>
          <w:numId w:val="2"/>
        </w:numPr>
        <w:tabs>
          <w:tab w:val="left" w:pos="360"/>
          <w:tab w:val="center" w:pos="4680"/>
        </w:tabs>
        <w:spacing w:after="0" w:line="240" w:lineRule="auto"/>
        <w:jc w:val="both"/>
        <w:rPr>
          <w:rFonts w:ascii="Arial" w:hAnsi="Arial" w:cs="Arial"/>
          <w:sz w:val="24"/>
          <w:szCs w:val="24"/>
        </w:rPr>
      </w:pPr>
      <w:r w:rsidRPr="00C624AF">
        <w:rPr>
          <w:rFonts w:ascii="Arial" w:hAnsi="Arial" w:cs="Arial"/>
          <w:sz w:val="24"/>
          <w:szCs w:val="24"/>
        </w:rPr>
        <w:t>This is sedentary work requiring the exertion of up to ten (10) pounds of force occasionally and some light work and lifting requiring the exertion of up to 20 pounds occasionally; work requires sitting, stooping, bending, kneeling, reaching, standing, fingering, grasping and repetitive motions; vocal communication; hearing, and visual acuity.  Employee is not subject to adverse environmental conditions.</w:t>
      </w:r>
    </w:p>
    <w:p w14:paraId="39A4E3C1" w14:textId="0435079C" w:rsidR="00A52363" w:rsidRDefault="00A52363" w:rsidP="00A52363">
      <w:pPr>
        <w:widowControl w:val="0"/>
        <w:tabs>
          <w:tab w:val="left" w:pos="360"/>
          <w:tab w:val="center" w:pos="4680"/>
        </w:tabs>
        <w:jc w:val="both"/>
        <w:rPr>
          <w:rFonts w:ascii="Arial" w:hAnsi="Arial" w:cs="Arial"/>
          <w:sz w:val="23"/>
          <w:szCs w:val="23"/>
        </w:rPr>
      </w:pPr>
    </w:p>
    <w:p w14:paraId="7F29E404" w14:textId="77777777" w:rsidR="00207954" w:rsidRPr="009451BB" w:rsidRDefault="00207954" w:rsidP="00207954">
      <w:pPr>
        <w:spacing w:after="100" w:afterAutospacing="1" w:line="240" w:lineRule="auto"/>
        <w:rPr>
          <w:rFonts w:ascii="Arial" w:eastAsia="Times New Roman" w:hAnsi="Arial" w:cs="Arial"/>
          <w:b/>
          <w:sz w:val="24"/>
          <w:szCs w:val="24"/>
        </w:rPr>
      </w:pPr>
      <w:r w:rsidRPr="009451BB">
        <w:rPr>
          <w:rFonts w:ascii="Arial" w:eastAsia="Times New Roman" w:hAnsi="Arial" w:cs="Arial"/>
          <w:b/>
          <w:sz w:val="24"/>
          <w:szCs w:val="24"/>
        </w:rPr>
        <w:t>Benefits:</w:t>
      </w:r>
    </w:p>
    <w:p w14:paraId="051D6BA3" w14:textId="77777777" w:rsidR="00207954" w:rsidRPr="009451BB" w:rsidRDefault="00207954" w:rsidP="00207954">
      <w:pPr>
        <w:spacing w:after="0" w:line="240" w:lineRule="auto"/>
        <w:rPr>
          <w:rFonts w:ascii="Arial" w:eastAsia="Times New Roman" w:hAnsi="Arial" w:cs="Arial"/>
          <w:sz w:val="24"/>
          <w:szCs w:val="24"/>
        </w:rPr>
      </w:pPr>
      <w:r w:rsidRPr="009451BB">
        <w:rPr>
          <w:rFonts w:ascii="Arial" w:eastAsia="Times New Roman" w:hAnsi="Arial" w:cs="Arial"/>
          <w:sz w:val="24"/>
          <w:szCs w:val="24"/>
        </w:rPr>
        <w:t>Health insurance and health savings account</w:t>
      </w:r>
    </w:p>
    <w:p w14:paraId="54B706BC" w14:textId="77777777" w:rsidR="00207954" w:rsidRPr="009451BB" w:rsidRDefault="00207954" w:rsidP="00207954">
      <w:pPr>
        <w:spacing w:after="0" w:line="240" w:lineRule="auto"/>
        <w:rPr>
          <w:rFonts w:ascii="Arial" w:eastAsia="Times New Roman" w:hAnsi="Arial" w:cs="Arial"/>
          <w:sz w:val="24"/>
          <w:szCs w:val="24"/>
        </w:rPr>
      </w:pPr>
      <w:r w:rsidRPr="009451BB">
        <w:rPr>
          <w:rFonts w:ascii="Arial" w:eastAsia="Times New Roman" w:hAnsi="Arial" w:cs="Arial"/>
          <w:sz w:val="24"/>
          <w:szCs w:val="24"/>
        </w:rPr>
        <w:t>403b Retirement Plan</w:t>
      </w:r>
    </w:p>
    <w:p w14:paraId="0C8A2ED2" w14:textId="77777777" w:rsidR="00207954" w:rsidRPr="009451BB" w:rsidRDefault="00207954" w:rsidP="00207954">
      <w:pPr>
        <w:spacing w:after="0" w:line="240" w:lineRule="auto"/>
        <w:rPr>
          <w:rFonts w:ascii="Arial" w:eastAsia="Times New Roman" w:hAnsi="Arial" w:cs="Arial"/>
          <w:sz w:val="24"/>
          <w:szCs w:val="24"/>
        </w:rPr>
      </w:pPr>
      <w:r w:rsidRPr="009451BB">
        <w:rPr>
          <w:rFonts w:ascii="Arial" w:eastAsia="Times New Roman" w:hAnsi="Arial" w:cs="Arial"/>
          <w:sz w:val="24"/>
          <w:szCs w:val="24"/>
        </w:rPr>
        <w:t>Other benefit offerings, including AFLAC supplemental insurance</w:t>
      </w:r>
      <w:r w:rsidRPr="009451BB">
        <w:rPr>
          <w:rFonts w:ascii="Arial" w:eastAsia="Times New Roman" w:hAnsi="Arial" w:cs="Arial"/>
          <w:sz w:val="24"/>
          <w:szCs w:val="24"/>
        </w:rPr>
        <w:tab/>
      </w:r>
    </w:p>
    <w:p w14:paraId="2C32DD92" w14:textId="77777777" w:rsidR="00207954" w:rsidRPr="009451BB" w:rsidRDefault="00207954" w:rsidP="00207954">
      <w:pPr>
        <w:spacing w:after="0" w:line="240" w:lineRule="auto"/>
        <w:rPr>
          <w:rFonts w:ascii="Arial" w:eastAsia="Times New Roman" w:hAnsi="Arial" w:cs="Arial"/>
          <w:sz w:val="24"/>
          <w:szCs w:val="24"/>
        </w:rPr>
      </w:pPr>
      <w:r w:rsidRPr="009451BB">
        <w:rPr>
          <w:rFonts w:ascii="Arial" w:eastAsia="Times New Roman" w:hAnsi="Arial" w:cs="Arial"/>
          <w:sz w:val="24"/>
          <w:szCs w:val="24"/>
        </w:rPr>
        <w:t>Paid time off</w:t>
      </w:r>
    </w:p>
    <w:p w14:paraId="366AF51E" w14:textId="77777777" w:rsidR="00207954" w:rsidRPr="009451BB" w:rsidRDefault="00207954" w:rsidP="00207954">
      <w:pPr>
        <w:spacing w:after="0" w:line="240" w:lineRule="auto"/>
        <w:rPr>
          <w:rFonts w:ascii="Arial" w:eastAsia="Times New Roman" w:hAnsi="Arial" w:cs="Arial"/>
          <w:sz w:val="24"/>
          <w:szCs w:val="24"/>
        </w:rPr>
      </w:pPr>
      <w:r w:rsidRPr="009451BB">
        <w:rPr>
          <w:rFonts w:ascii="Arial" w:eastAsia="Times New Roman" w:hAnsi="Arial" w:cs="Arial"/>
          <w:sz w:val="24"/>
          <w:szCs w:val="24"/>
        </w:rPr>
        <w:t>Flexible schedule</w:t>
      </w:r>
    </w:p>
    <w:p w14:paraId="404A59E3" w14:textId="531C498E" w:rsidR="00207954" w:rsidRDefault="003F4AC3" w:rsidP="00207954">
      <w:pPr>
        <w:jc w:val="center"/>
        <w:rPr>
          <w:rFonts w:ascii="Arial" w:eastAsia="Times New Roman" w:hAnsi="Arial" w:cs="Arial"/>
          <w:sz w:val="24"/>
          <w:szCs w:val="24"/>
        </w:rPr>
      </w:pPr>
      <w:r>
        <w:rPr>
          <w:rFonts w:ascii="Arial" w:eastAsia="Times New Roman" w:hAnsi="Arial" w:cs="Arial"/>
          <w:sz w:val="24"/>
          <w:szCs w:val="24"/>
        </w:rPr>
        <w:t xml:space="preserve">Submit Resume via email </w:t>
      </w:r>
      <w:proofErr w:type="gramStart"/>
      <w:r>
        <w:rPr>
          <w:rFonts w:ascii="Arial" w:eastAsia="Times New Roman" w:hAnsi="Arial" w:cs="Arial"/>
          <w:sz w:val="24"/>
          <w:szCs w:val="24"/>
        </w:rPr>
        <w:t>to :</w:t>
      </w:r>
      <w:proofErr w:type="gramEnd"/>
      <w:r>
        <w:rPr>
          <w:rFonts w:ascii="Arial" w:eastAsia="Times New Roman" w:hAnsi="Arial" w:cs="Arial"/>
          <w:sz w:val="24"/>
          <w:szCs w:val="24"/>
        </w:rPr>
        <w:t xml:space="preserve">  Jeff </w:t>
      </w:r>
      <w:proofErr w:type="spellStart"/>
      <w:r>
        <w:rPr>
          <w:rFonts w:ascii="Arial" w:eastAsia="Times New Roman" w:hAnsi="Arial" w:cs="Arial"/>
          <w:sz w:val="24"/>
          <w:szCs w:val="24"/>
        </w:rPr>
        <w:t>Stanicki</w:t>
      </w:r>
      <w:proofErr w:type="spellEnd"/>
      <w:r>
        <w:rPr>
          <w:rFonts w:ascii="Arial" w:eastAsia="Times New Roman" w:hAnsi="Arial" w:cs="Arial"/>
          <w:sz w:val="24"/>
          <w:szCs w:val="24"/>
        </w:rPr>
        <w:t>, VP Partner Engagement</w:t>
      </w:r>
    </w:p>
    <w:p w14:paraId="0C2541D4" w14:textId="7D48B5DF" w:rsidR="003F4AC3" w:rsidRDefault="003F4AC3" w:rsidP="00207954">
      <w:pPr>
        <w:jc w:val="center"/>
        <w:rPr>
          <w:rFonts w:ascii="Arial" w:eastAsia="Times New Roman" w:hAnsi="Arial" w:cs="Arial"/>
          <w:sz w:val="24"/>
          <w:szCs w:val="24"/>
        </w:rPr>
      </w:pPr>
      <w:r>
        <w:rPr>
          <w:rFonts w:ascii="Arial" w:eastAsia="Times New Roman" w:hAnsi="Arial" w:cs="Arial"/>
          <w:sz w:val="24"/>
          <w:szCs w:val="24"/>
        </w:rPr>
        <w:t>stanicki@touchedbycancer.org</w:t>
      </w:r>
    </w:p>
    <w:p w14:paraId="7F673912" w14:textId="77777777" w:rsidR="00207954" w:rsidRPr="009451BB" w:rsidRDefault="00207954" w:rsidP="00207954">
      <w:pPr>
        <w:jc w:val="center"/>
        <w:rPr>
          <w:sz w:val="24"/>
          <w:szCs w:val="24"/>
        </w:rPr>
      </w:pPr>
      <w:r w:rsidRPr="009451BB">
        <w:rPr>
          <w:rFonts w:ascii="Arial" w:eastAsia="Times New Roman" w:hAnsi="Arial" w:cs="Arial"/>
          <w:sz w:val="24"/>
          <w:szCs w:val="24"/>
        </w:rPr>
        <w:t>Equal Opportunity Employer</w:t>
      </w:r>
    </w:p>
    <w:p w14:paraId="5147CDA3" w14:textId="77777777" w:rsidR="00F01D8C" w:rsidRPr="009D749E" w:rsidRDefault="00F01D8C">
      <w:pPr>
        <w:rPr>
          <w:rFonts w:ascii="Arial" w:hAnsi="Arial" w:cs="Arial"/>
        </w:rPr>
      </w:pPr>
    </w:p>
    <w:sectPr w:rsidR="00F01D8C" w:rsidRPr="009D749E" w:rsidSect="005F4AF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3AA02AA"/>
    <w:lvl w:ilvl="0">
      <w:numFmt w:val="decimal"/>
      <w:lvlText w:val="*"/>
      <w:lvlJc w:val="left"/>
      <w:pPr>
        <w:ind w:left="0" w:firstLine="0"/>
      </w:pPr>
    </w:lvl>
  </w:abstractNum>
  <w:abstractNum w:abstractNumId="1" w15:restartNumberingAfterBreak="0">
    <w:nsid w:val="071F5287"/>
    <w:multiLevelType w:val="hybridMultilevel"/>
    <w:tmpl w:val="175A2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F11334"/>
    <w:multiLevelType w:val="hybridMultilevel"/>
    <w:tmpl w:val="AE02E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C7DA3"/>
    <w:multiLevelType w:val="hybridMultilevel"/>
    <w:tmpl w:val="6176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257A1"/>
    <w:multiLevelType w:val="multilevel"/>
    <w:tmpl w:val="0E6214A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63"/>
    <w:rsid w:val="000A6FC6"/>
    <w:rsid w:val="000A7522"/>
    <w:rsid w:val="000F6383"/>
    <w:rsid w:val="001B3D00"/>
    <w:rsid w:val="001B43CC"/>
    <w:rsid w:val="00207954"/>
    <w:rsid w:val="00282BB5"/>
    <w:rsid w:val="00283299"/>
    <w:rsid w:val="00303454"/>
    <w:rsid w:val="00316FBA"/>
    <w:rsid w:val="00341575"/>
    <w:rsid w:val="003A5866"/>
    <w:rsid w:val="003B5D20"/>
    <w:rsid w:val="003F4AC3"/>
    <w:rsid w:val="003F7788"/>
    <w:rsid w:val="0040092E"/>
    <w:rsid w:val="00461010"/>
    <w:rsid w:val="00474E3A"/>
    <w:rsid w:val="00557CF4"/>
    <w:rsid w:val="00584721"/>
    <w:rsid w:val="005B0551"/>
    <w:rsid w:val="005F4AFE"/>
    <w:rsid w:val="005F6E1A"/>
    <w:rsid w:val="005F79AA"/>
    <w:rsid w:val="00683E61"/>
    <w:rsid w:val="00773587"/>
    <w:rsid w:val="007B29BB"/>
    <w:rsid w:val="00802BDE"/>
    <w:rsid w:val="00832E05"/>
    <w:rsid w:val="00852BBE"/>
    <w:rsid w:val="008559A1"/>
    <w:rsid w:val="0086769F"/>
    <w:rsid w:val="009D749E"/>
    <w:rsid w:val="00A37FE4"/>
    <w:rsid w:val="00A52363"/>
    <w:rsid w:val="00BC22ED"/>
    <w:rsid w:val="00BE2ACF"/>
    <w:rsid w:val="00C462AB"/>
    <w:rsid w:val="00C624AF"/>
    <w:rsid w:val="00C70E7A"/>
    <w:rsid w:val="00D333D8"/>
    <w:rsid w:val="00DA4783"/>
    <w:rsid w:val="00DA50C6"/>
    <w:rsid w:val="00E2600E"/>
    <w:rsid w:val="00E51075"/>
    <w:rsid w:val="00E5783D"/>
    <w:rsid w:val="00EE2962"/>
    <w:rsid w:val="00F01D8C"/>
    <w:rsid w:val="00FA4F3D"/>
    <w:rsid w:val="00FC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92E8"/>
  <w15:chartTrackingRefBased/>
  <w15:docId w15:val="{EA4C14A8-3565-4996-8587-3EEE8D28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83052">
      <w:bodyDiv w:val="1"/>
      <w:marLeft w:val="0"/>
      <w:marRight w:val="0"/>
      <w:marTop w:val="0"/>
      <w:marBottom w:val="0"/>
      <w:divBdr>
        <w:top w:val="none" w:sz="0" w:space="0" w:color="auto"/>
        <w:left w:val="none" w:sz="0" w:space="0" w:color="auto"/>
        <w:bottom w:val="none" w:sz="0" w:space="0" w:color="auto"/>
        <w:right w:val="none" w:sz="0" w:space="0" w:color="auto"/>
      </w:divBdr>
    </w:div>
    <w:div w:id="12042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49EFB1FF32D543A44DD3B480379A4C" ma:contentTypeVersion="14" ma:contentTypeDescription="Create a new document." ma:contentTypeScope="" ma:versionID="eca6734d5525962a9d4c71b9cde60841">
  <xsd:schema xmlns:xsd="http://www.w3.org/2001/XMLSchema" xmlns:xs="http://www.w3.org/2001/XMLSchema" xmlns:p="http://schemas.microsoft.com/office/2006/metadata/properties" xmlns:ns3="8a00d44b-1989-4fd3-ba59-dd20dbc74330" xmlns:ns4="3573c7d2-9c37-4ad4-b3a5-3cc2b1d6895e" targetNamespace="http://schemas.microsoft.com/office/2006/metadata/properties" ma:root="true" ma:fieldsID="93170c839c2a07755ba8fc275aadb60f" ns3:_="" ns4:_="">
    <xsd:import namespace="8a00d44b-1989-4fd3-ba59-dd20dbc74330"/>
    <xsd:import namespace="3573c7d2-9c37-4ad4-b3a5-3cc2b1d689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0d44b-1989-4fd3-ba59-dd20dbc74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73c7d2-9c37-4ad4-b3a5-3cc2b1d689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93BD1-3314-40A4-9D08-40A6836083BF}">
  <ds:schemaRefs>
    <ds:schemaRef ds:uri="http://schemas.microsoft.com/office/infopath/2007/PartnerControls"/>
    <ds:schemaRef ds:uri="http://purl.org/dc/terms/"/>
    <ds:schemaRef ds:uri="3573c7d2-9c37-4ad4-b3a5-3cc2b1d6895e"/>
    <ds:schemaRef ds:uri="http://schemas.microsoft.com/office/2006/documentManagement/types"/>
    <ds:schemaRef ds:uri="http://schemas.openxmlformats.org/package/2006/metadata/core-properties"/>
    <ds:schemaRef ds:uri="8a00d44b-1989-4fd3-ba59-dd20dbc7433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6F5B80B-1313-4FBA-AC5C-C2CE04F32A1D}">
  <ds:schemaRefs>
    <ds:schemaRef ds:uri="http://schemas.microsoft.com/sharepoint/v3/contenttype/forms"/>
  </ds:schemaRefs>
</ds:datastoreItem>
</file>

<file path=customXml/itemProps3.xml><?xml version="1.0" encoding="utf-8"?>
<ds:datastoreItem xmlns:ds="http://schemas.openxmlformats.org/officeDocument/2006/customXml" ds:itemID="{3A92333E-1799-49B3-A671-9AB293365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0d44b-1989-4fd3-ba59-dd20dbc74330"/>
    <ds:schemaRef ds:uri="3573c7d2-9c37-4ad4-b3a5-3cc2b1d68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Seyranian</dc:creator>
  <cp:keywords/>
  <dc:description/>
  <cp:lastModifiedBy>Molly Golish Hanley</cp:lastModifiedBy>
  <cp:revision>2</cp:revision>
  <dcterms:created xsi:type="dcterms:W3CDTF">2022-01-04T19:55:00Z</dcterms:created>
  <dcterms:modified xsi:type="dcterms:W3CDTF">2022-01-04T19:55:00Z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0x0101005449EFB1FF32D543A44DD3B480379A4C</vt:lpwstr>
  </property>
</Properties>
</file>